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ascii="黑体" w:hAnsi="黑体" w:eastAsia="黑体"/>
          <w:color w:val="000000"/>
        </w:rPr>
        <w:t>股票代码：600188            股票简称：</w:t>
      </w:r>
      <w:r>
        <w:rPr>
          <w:rFonts w:hint="eastAsia" w:ascii="黑体" w:hAnsi="黑体" w:eastAsia="黑体"/>
          <w:color w:val="000000"/>
        </w:rPr>
        <w:t>兖矿能源</w:t>
      </w:r>
      <w:r>
        <w:rPr>
          <w:rFonts w:ascii="黑体" w:hAnsi="黑体" w:eastAsia="黑体"/>
          <w:color w:val="000000"/>
        </w:rPr>
        <w:t xml:space="preserve">            编号：临</w:t>
      </w:r>
      <w:r>
        <w:rPr>
          <w:rFonts w:hint="eastAsia" w:ascii="黑体" w:hAnsi="黑体" w:eastAsia="黑体" w:cs="黑体"/>
        </w:rPr>
        <w:t>202</w:t>
      </w:r>
      <w:r>
        <w:rPr>
          <w:rFonts w:ascii="黑体" w:hAnsi="黑体" w:eastAsia="黑体" w:cs="黑体"/>
        </w:rPr>
        <w:t>5</w:t>
      </w:r>
      <w:r>
        <w:rPr>
          <w:rFonts w:hint="eastAsia" w:ascii="黑体" w:hAnsi="黑体" w:eastAsia="黑体" w:cs="黑体"/>
        </w:rPr>
        <w:t>-</w:t>
      </w:r>
      <w:r>
        <w:rPr>
          <w:rFonts w:hint="eastAsia" w:ascii="黑体" w:hAnsi="黑体" w:eastAsia="黑体" w:cs="黑体"/>
          <w:lang w:val="en-US" w:eastAsia="zh-CN"/>
        </w:rPr>
        <w:t>001</w:t>
      </w:r>
    </w:p>
    <w:p>
      <w:pPr>
        <w:spacing w:line="560" w:lineRule="exact"/>
        <w:jc w:val="center"/>
        <w:rPr>
          <w:rFonts w:ascii="黑体" w:eastAsia="黑体"/>
          <w:bCs/>
          <w:color w:val="FF0000"/>
          <w:sz w:val="36"/>
          <w:szCs w:val="36"/>
        </w:rPr>
      </w:pPr>
    </w:p>
    <w:p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bookmarkStart w:id="0" w:name="OLE_LINK1"/>
      <w:bookmarkStart w:id="4" w:name="_GoBack"/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560" w:lineRule="exact"/>
        <w:jc w:val="center"/>
        <w:rPr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202</w:t>
      </w:r>
      <w:r>
        <w:rPr>
          <w:rFonts w:ascii="黑体" w:eastAsia="黑体"/>
          <w:b/>
          <w:bCs/>
          <w:color w:val="FF0000"/>
          <w:sz w:val="36"/>
          <w:szCs w:val="36"/>
        </w:rPr>
        <w:t>4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年第四季度主要运营数据</w:t>
      </w:r>
      <w:r>
        <w:rPr>
          <w:rFonts w:ascii="黑体" w:eastAsia="黑体"/>
          <w:b/>
          <w:bCs/>
          <w:color w:val="FF0000"/>
          <w:sz w:val="36"/>
          <w:szCs w:val="36"/>
        </w:rPr>
        <w:t>公告</w:t>
      </w:r>
      <w:bookmarkEnd w:id="4"/>
    </w:p>
    <w:bookmarkEnd w:id="0"/>
    <w:p>
      <w:pPr>
        <w:spacing w:line="56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150495</wp:posOffset>
                </wp:positionV>
                <wp:extent cx="5372100" cy="9804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2.25pt;margin-top:11.85pt;height:77.2pt;width:423pt;z-index:251659264;mso-width-relative:page;mso-height-relative:page;" fillcolor="#FFFFFF" filled="t" stroked="t" coordsize="21600,21600" o:gfxdata="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n3xq2AAAAAkBAAAPAAAAAAAAAAEAIAAAACIAAABkcnMvZG93bnJldi54bWxQ&#10;SwECFAAUAAAACACHTuJADYh2pTACAACG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经兖矿能源集团股份有限公司（“公司”）内部统计，202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年第四季度，公司及其附属公司煤炭业务、煤化工业务主要运营数据如下表：</w:t>
      </w:r>
    </w:p>
    <w:p>
      <w:pPr>
        <w:spacing w:line="520" w:lineRule="exact"/>
        <w:ind w:firstLine="7080" w:firstLineChars="29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单位：万吨</w:t>
      </w:r>
    </w:p>
    <w:tbl>
      <w:tblPr>
        <w:tblStyle w:val="14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237"/>
        <w:gridCol w:w="1236"/>
        <w:gridCol w:w="1236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季度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增减幅（%）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增减幅（%）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一、煤炭业务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商品煤产量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3,584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3,481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2.94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14,165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13,211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自产煤销量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3,283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3,267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0.52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12,906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12,097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二、煤化工业务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106.44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98.23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8.36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410.54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401.63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101.89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94.23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8.13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394.10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395.46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11.59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11.18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3.68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40.11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36.01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10.75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11.73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-8.36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39.36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39.08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（三）醋酸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26.87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28.51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-5.77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104.04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113.94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19.87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19.59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1.44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74.30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73.84 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_Hlk108628063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（四）醋酸乙酯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①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5.89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10.54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-44.12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28.46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42.33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-32.78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6.00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10.61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-43.46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28.39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42.59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-33.34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（五）己内酰胺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9.58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6.92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38.58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33.66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29.68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10.04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7.31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37.28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33.60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29.70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13.12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（六）聚甲醛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" w:name="_Hlk10868931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1.78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1.89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-5.79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6.50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7.38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-11.92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1.76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1.93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-8.80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6.49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7.39 </w:t>
            </w:r>
          </w:p>
        </w:tc>
        <w:tc>
          <w:tcPr>
            <w:tcW w:w="123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-12.16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（七）粗液体蜡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0.10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9.73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-98.92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28.78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16.19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1.34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9.46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-85.84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30.04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14.60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105.74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3" w:name="_Hlk10868933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（八）全馏分液体石蜡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1.61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1.61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1.10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1.10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（九）石脑油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6.05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7.15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-15.37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23.34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25.57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6.29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7.05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-10.84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23.50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25.40 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-7.47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（十）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21.24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16.62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27.76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71.57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59.12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23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20.11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16.89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19.07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66.42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61.55 </w:t>
            </w:r>
          </w:p>
        </w:tc>
        <w:tc>
          <w:tcPr>
            <w:tcW w:w="1236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7.91 </w:t>
            </w:r>
          </w:p>
        </w:tc>
      </w:tr>
      <w:bookmarkEnd w:id="3"/>
    </w:tbl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>
      <w:pPr>
        <w:snapToGrid w:val="0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①醋酸乙酯产量、销量同比减少，主要是由于：兖矿鲁南化工有限公司积极应对市场环境变化，进行柔性生产，影响醋酸乙酯产量、销量同比减少。</w:t>
      </w:r>
    </w:p>
    <w:p>
      <w:pPr>
        <w:snapToGrid w:val="0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②己内酰胺产量、销量同比增加，主要是由于：上年同期相关装置进行了系统检修，报告期内正常生产，影响产量、销量同比增加。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③粗液体蜡、全馏分液体石蜡、石脑油产品产量、销量</w:t>
      </w:r>
      <w:r>
        <w:rPr>
          <w:rFonts w:hint="eastAsia" w:ascii="宋体" w:hAnsi="宋体"/>
          <w:sz w:val="24"/>
          <w:szCs w:val="24"/>
        </w:rPr>
        <w:t>同比增减变动，主要是由于：陕西未来能源化工有限公司积极应对市场环境变化，进行柔性生产，不断优化产品结构，影响其化工产品产量、销量变动。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④上表中产量、销量数据均经四舍五入，</w:t>
      </w:r>
      <w:r>
        <w:rPr>
          <w:rFonts w:hint="eastAsia"/>
          <w:sz w:val="24"/>
          <w:szCs w:val="24"/>
        </w:rPr>
        <w:t>但增减幅按四舍五入前的原始数据计算得出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于诸多因素影响，包括但不限于国家宏观政策调整、国内外市场环境变化、季节性因素、恶劣天气及灾害、设备检修和安全检查等，各个季度的运营数据可能存在较大差异。运营数据可能与相关期间定期报告披露的数据有差异，最终数据以相关期间定期报告披露数据为准。请广大投资者注意投资风险。</w:t>
      </w: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兖矿能源集团股份有限公司董事会</w:t>
      </w:r>
    </w:p>
    <w:p>
      <w:pPr>
        <w:spacing w:line="520" w:lineRule="exact"/>
        <w:ind w:right="840" w:rightChars="4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132341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NmM5OTU2ZmY4Y2RiYTg3ZTQ2ZGQyMTliYjRmY2MifQ=="/>
    <w:docVar w:name="KSO_WPS_MARK_KEY" w:val="c5c95d39-ce59-468d-9c7f-083257ef1c42"/>
  </w:docVars>
  <w:rsids>
    <w:rsidRoot w:val="00000000"/>
    <w:rsid w:val="55D65838"/>
    <w:rsid w:val="6A5F2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qFormat="1" w:unhideWhenUsed="0" w:uiPriority="0" w:semiHidden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8"/>
    <w:semiHidden/>
    <w:qFormat/>
    <w:uiPriority w:val="99"/>
    <w:pPr>
      <w:jc w:val="left"/>
    </w:pPr>
    <w:rPr>
      <w:lang w:val="zh-CN"/>
    </w:rPr>
  </w:style>
  <w:style w:type="paragraph" w:styleId="4">
    <w:name w:val="Body Text Indent"/>
    <w:basedOn w:val="1"/>
    <w:qFormat/>
    <w:uiPriority w:val="0"/>
    <w:pPr>
      <w:spacing w:line="480" w:lineRule="exact"/>
      <w:ind w:firstLine="560"/>
    </w:pPr>
    <w:rPr>
      <w:rFonts w:ascii="宋体" w:hAnsi="宋体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29"/>
    <w:qFormat/>
    <w:uiPriority w:val="0"/>
    <w:rPr>
      <w:sz w:val="24"/>
      <w:lang w:val="zh-CN"/>
    </w:rPr>
  </w:style>
  <w:style w:type="paragraph" w:styleId="7">
    <w:name w:val="Body Text Indent 2"/>
    <w:basedOn w:val="1"/>
    <w:qFormat/>
    <w:uiPriority w:val="0"/>
    <w:pPr>
      <w:ind w:firstLine="539"/>
    </w:pPr>
    <w:rPr>
      <w:color w:val="FF000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Body Text Indent 3"/>
    <w:basedOn w:val="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2">
    <w:name w:val="index 1"/>
    <w:basedOn w:val="1"/>
    <w:next w:val="1"/>
    <w:qFormat/>
    <w:uiPriority w:val="0"/>
    <w:rPr>
      <w:rFonts w:eastAsia="楷体_GB2312"/>
      <w:sz w:val="28"/>
      <w:szCs w:val="24"/>
    </w:rPr>
  </w:style>
  <w:style w:type="paragraph" w:styleId="13">
    <w:name w:val="annotation subject"/>
    <w:basedOn w:val="3"/>
    <w:next w:val="3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Colorful 2"/>
    <w:basedOn w:val="14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customStyle="1" w:styleId="22">
    <w:name w:val="已访问的超链接1"/>
    <w:qFormat/>
    <w:uiPriority w:val="0"/>
    <w:rPr>
      <w:color w:val="800080"/>
      <w:u w:val="single"/>
    </w:rPr>
  </w:style>
  <w:style w:type="paragraph" w:customStyle="1" w:styleId="2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4">
    <w:name w:val="Char Char Char Char 字元 字元 Char Char 字元 字元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Times New Roman"/>
      <w:kern w:val="0"/>
      <w:sz w:val="20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Char Char Char1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</w:rPr>
  </w:style>
  <w:style w:type="character" w:customStyle="1" w:styleId="27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8">
    <w:name w:val="批注文字 字符"/>
    <w:link w:val="3"/>
    <w:semiHidden/>
    <w:qFormat/>
    <w:uiPriority w:val="99"/>
    <w:rPr>
      <w:kern w:val="2"/>
      <w:sz w:val="21"/>
    </w:rPr>
  </w:style>
  <w:style w:type="character" w:customStyle="1" w:styleId="29">
    <w:name w:val="日期 字符"/>
    <w:link w:val="6"/>
    <w:qFormat/>
    <w:uiPriority w:val="0"/>
    <w:rPr>
      <w:kern w:val="2"/>
      <w:sz w:val="24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列表段落1"/>
    <w:basedOn w:val="1"/>
    <w:qFormat/>
    <w:uiPriority w:val="34"/>
    <w:pPr>
      <w:ind w:firstLine="420" w:firstLineChars="200"/>
    </w:p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A9578-6934-4D3D-951A-1B08FA367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</Company>
  <Pages>2</Pages>
  <Words>832</Words>
  <Characters>1376</Characters>
  <Lines>12</Lines>
  <Paragraphs>3</Paragraphs>
  <TotalTime>471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2024-01-03T02:15:00Z</dcterms:created>
  <dc:creator>lx</dc:creator>
  <cp:lastModifiedBy>YUANSU HU</cp:lastModifiedBy>
  <cp:lastPrinted>2025-01-19T09:48:00Z</cp:lastPrinted>
  <dcterms:modified xsi:type="dcterms:W3CDTF">2025-01-20T07:01:56Z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</vt:lpwstr>
  </property>
  <property fmtid="{D5CDD505-2E9C-101B-9397-08002B2CF9AE}" pid="3" name="KSOProductBuildVer">
    <vt:lpwstr>2052-11.1.0.14309</vt:lpwstr>
  </property>
  <property fmtid="{D5CDD505-2E9C-101B-9397-08002B2CF9AE}" pid="4" name="ICV">
    <vt:lpwstr>E459E02B3FE448ED83014CB8B861A65A_12</vt:lpwstr>
  </property>
</Properties>
</file>